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F2" w:rsidRPr="006B36F2" w:rsidRDefault="006B36F2" w:rsidP="006B36F2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6B36F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B36F2">
        <w:rPr>
          <w:rFonts w:ascii="Times New Roman" w:hAnsi="Times New Roman" w:cs="Times New Roman"/>
          <w:sz w:val="28"/>
          <w:szCs w:val="28"/>
        </w:rPr>
        <w:t>АРАР                                                                                          РЕШЕНИЕ</w:t>
      </w:r>
    </w:p>
    <w:p w:rsidR="006B36F2" w:rsidRDefault="006B36F2" w:rsidP="006B36F2">
      <w:pPr>
        <w:pStyle w:val="2"/>
        <w:tabs>
          <w:tab w:val="left" w:pos="510"/>
          <w:tab w:val="left" w:pos="7095"/>
        </w:tabs>
        <w:jc w:val="left"/>
        <w:rPr>
          <w:bCs/>
          <w:sz w:val="28"/>
          <w:szCs w:val="28"/>
        </w:rPr>
      </w:pPr>
    </w:p>
    <w:p w:rsidR="006B36F2" w:rsidRPr="002550CA" w:rsidRDefault="006B36F2" w:rsidP="006B36F2">
      <w:pPr>
        <w:pStyle w:val="2"/>
        <w:tabs>
          <w:tab w:val="left" w:pos="510"/>
          <w:tab w:val="left" w:pos="7095"/>
        </w:tabs>
        <w:jc w:val="left"/>
      </w:pPr>
      <w:r>
        <w:rPr>
          <w:bCs/>
          <w:sz w:val="28"/>
          <w:szCs w:val="28"/>
        </w:rPr>
        <w:t>«</w:t>
      </w:r>
      <w:r w:rsidR="00CD7154">
        <w:rPr>
          <w:bCs/>
          <w:sz w:val="28"/>
          <w:szCs w:val="28"/>
          <w:lang w:val="ru-RU"/>
        </w:rPr>
        <w:t>16</w:t>
      </w:r>
      <w:r>
        <w:rPr>
          <w:bCs/>
          <w:sz w:val="28"/>
          <w:szCs w:val="28"/>
        </w:rPr>
        <w:t>»</w:t>
      </w:r>
      <w:r w:rsidRPr="009223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сентябрь</w:t>
      </w:r>
      <w:r>
        <w:rPr>
          <w:bCs/>
          <w:sz w:val="28"/>
          <w:szCs w:val="28"/>
        </w:rPr>
        <w:t xml:space="preserve"> 2022 й.                      №</w:t>
      </w:r>
      <w:r w:rsidR="00CD7154">
        <w:rPr>
          <w:bCs/>
          <w:sz w:val="28"/>
          <w:szCs w:val="28"/>
          <w:lang w:val="ru-RU"/>
        </w:rPr>
        <w:t>234/35</w:t>
      </w: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«</w:t>
      </w:r>
      <w:r w:rsidR="00CD7154">
        <w:rPr>
          <w:sz w:val="28"/>
          <w:szCs w:val="28"/>
          <w:lang w:val="ru-RU"/>
        </w:rPr>
        <w:t>16</w:t>
      </w:r>
      <w:r>
        <w:rPr>
          <w:sz w:val="28"/>
          <w:szCs w:val="28"/>
        </w:rPr>
        <w:t>» сентября 2022 г.</w:t>
      </w:r>
      <w:r w:rsidRPr="002550CA">
        <w:tab/>
      </w:r>
      <w:r w:rsidRPr="002550CA">
        <w:tab/>
      </w:r>
    </w:p>
    <w:p w:rsidR="006B36F2" w:rsidRPr="002550CA" w:rsidRDefault="006B36F2" w:rsidP="006B36F2">
      <w:pPr>
        <w:rPr>
          <w:sz w:val="28"/>
          <w:szCs w:val="28"/>
        </w:rPr>
      </w:pPr>
    </w:p>
    <w:p w:rsidR="006B36F2" w:rsidRPr="00FE325B" w:rsidRDefault="006B36F2" w:rsidP="006B3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25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 о бюджетном процессе в сельском поселении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Истяк</w:t>
      </w:r>
      <w:r w:rsidRPr="00FE325B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FE325B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325B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FE325B">
        <w:rPr>
          <w:rFonts w:ascii="Times New Roman" w:hAnsi="Times New Roman" w:cs="Times New Roman"/>
          <w:b/>
          <w:sz w:val="28"/>
          <w:szCs w:val="28"/>
        </w:rPr>
        <w:t xml:space="preserve">  район Республики Башкортостан, утвержденное решением  Совета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Истяк</w:t>
      </w:r>
      <w:r w:rsidRPr="00FE325B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FE325B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FE325B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FE325B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от </w:t>
      </w:r>
      <w:r>
        <w:rPr>
          <w:rFonts w:ascii="Times New Roman" w:hAnsi="Times New Roman" w:cs="Times New Roman"/>
          <w:b/>
          <w:sz w:val="28"/>
          <w:szCs w:val="28"/>
        </w:rPr>
        <w:t>15 ноября</w:t>
      </w:r>
      <w:r w:rsidRPr="00FE325B">
        <w:rPr>
          <w:rFonts w:ascii="Times New Roman" w:hAnsi="Times New Roman" w:cs="Times New Roman"/>
          <w:b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325B">
        <w:rPr>
          <w:rFonts w:ascii="Times New Roman" w:hAnsi="Times New Roman" w:cs="Times New Roman"/>
          <w:b/>
          <w:sz w:val="28"/>
          <w:szCs w:val="28"/>
        </w:rPr>
        <w:t>№ 170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E325B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6B36F2" w:rsidRDefault="006B36F2" w:rsidP="006B36F2">
      <w:pPr>
        <w:jc w:val="both"/>
      </w:pPr>
    </w:p>
    <w:p w:rsidR="006B36F2" w:rsidRPr="006B36F2" w:rsidRDefault="006B36F2" w:rsidP="006B36F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28"/>
          <w:szCs w:val="28"/>
        </w:rPr>
        <w:t xml:space="preserve">          </w:t>
      </w:r>
      <w:r w:rsidRPr="006B36F2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B36F2">
          <w:rPr>
            <w:rFonts w:ascii="Times New Roman" w:hAnsi="Times New Roman" w:cs="Times New Roman"/>
            <w:sz w:val="30"/>
            <w:szCs w:val="30"/>
          </w:rPr>
          <w:t>2003 г</w:t>
        </w:r>
      </w:smartTag>
      <w:r w:rsidRPr="006B36F2">
        <w:rPr>
          <w:rFonts w:ascii="Times New Roman" w:hAnsi="Times New Roman" w:cs="Times New Roman"/>
          <w:sz w:val="30"/>
          <w:szCs w:val="30"/>
        </w:rPr>
        <w:t xml:space="preserve">. N 131-ФЗ "Об общих принципах организации местного самоуправления в Российской Федерации", в целях приведения нормативных правовых актов в соответствие с действующим федеральным и республиканским законодательством, Совет сельского поселения </w:t>
      </w:r>
      <w:proofErr w:type="spellStart"/>
      <w:r w:rsidRPr="006B36F2">
        <w:rPr>
          <w:rFonts w:ascii="Times New Roman" w:hAnsi="Times New Roman" w:cs="Times New Roman"/>
          <w:sz w:val="30"/>
          <w:szCs w:val="30"/>
        </w:rPr>
        <w:t>Истякский</w:t>
      </w:r>
      <w:proofErr w:type="spellEnd"/>
      <w:r w:rsidRPr="006B36F2">
        <w:rPr>
          <w:rFonts w:ascii="Times New Roman" w:hAnsi="Times New Roman" w:cs="Times New Roman"/>
          <w:sz w:val="30"/>
          <w:szCs w:val="30"/>
        </w:rPr>
        <w:t xml:space="preserve"> сельсовет муниципального района </w:t>
      </w:r>
      <w:proofErr w:type="spellStart"/>
      <w:r w:rsidRPr="006B36F2">
        <w:rPr>
          <w:rFonts w:ascii="Times New Roman" w:hAnsi="Times New Roman" w:cs="Times New Roman"/>
          <w:sz w:val="30"/>
          <w:szCs w:val="30"/>
        </w:rPr>
        <w:t>Янаульский</w:t>
      </w:r>
      <w:proofErr w:type="spellEnd"/>
      <w:r w:rsidRPr="006B36F2">
        <w:rPr>
          <w:rFonts w:ascii="Times New Roman" w:hAnsi="Times New Roman" w:cs="Times New Roman"/>
          <w:sz w:val="30"/>
          <w:szCs w:val="30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6B36F2">
        <w:rPr>
          <w:rFonts w:ascii="Times New Roman" w:hAnsi="Times New Roman" w:cs="Times New Roman"/>
          <w:sz w:val="30"/>
          <w:szCs w:val="30"/>
        </w:rPr>
        <w:t xml:space="preserve"> Р Е Ш И Л:</w:t>
      </w:r>
    </w:p>
    <w:p w:rsidR="006B36F2" w:rsidRDefault="006B36F2" w:rsidP="006B36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720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F911D5">
        <w:rPr>
          <w:sz w:val="28"/>
          <w:szCs w:val="28"/>
        </w:rPr>
        <w:t xml:space="preserve">Положение  о бюджетном процессе в сельском поселении  </w:t>
      </w:r>
      <w:proofErr w:type="spellStart"/>
      <w:r>
        <w:rPr>
          <w:sz w:val="28"/>
          <w:szCs w:val="28"/>
        </w:rPr>
        <w:t>Истяк</w:t>
      </w:r>
      <w:r w:rsidRPr="0096206E">
        <w:rPr>
          <w:sz w:val="28"/>
          <w:szCs w:val="28"/>
        </w:rPr>
        <w:t>ский</w:t>
      </w:r>
      <w:proofErr w:type="spellEnd"/>
      <w:r w:rsidRPr="0096206E">
        <w:rPr>
          <w:sz w:val="28"/>
          <w:szCs w:val="28"/>
        </w:rPr>
        <w:t xml:space="preserve"> сельсовет муниципального района </w:t>
      </w:r>
      <w:proofErr w:type="spellStart"/>
      <w:r w:rsidRPr="0096206E">
        <w:rPr>
          <w:sz w:val="28"/>
          <w:szCs w:val="28"/>
        </w:rPr>
        <w:t>Янаульский</w:t>
      </w:r>
      <w:proofErr w:type="spellEnd"/>
      <w:r w:rsidRPr="0096206E">
        <w:rPr>
          <w:sz w:val="28"/>
          <w:szCs w:val="28"/>
        </w:rPr>
        <w:t xml:space="preserve">  район Республики Башкортостан следующие изменения</w:t>
      </w:r>
      <w:r>
        <w:rPr>
          <w:sz w:val="28"/>
          <w:szCs w:val="28"/>
        </w:rPr>
        <w:t xml:space="preserve"> и дополнения</w:t>
      </w:r>
      <w:r w:rsidRPr="0096206E">
        <w:rPr>
          <w:sz w:val="28"/>
          <w:szCs w:val="28"/>
        </w:rPr>
        <w:t>:</w:t>
      </w:r>
    </w:p>
    <w:p w:rsidR="006B36F2" w:rsidRPr="009C0CDD" w:rsidRDefault="006B36F2" w:rsidP="006B36F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0CDD">
        <w:rPr>
          <w:sz w:val="28"/>
          <w:szCs w:val="28"/>
        </w:rPr>
        <w:t>Часть 3 статьи 14 Положения изложить в новой редакции:</w:t>
      </w:r>
    </w:p>
    <w:p w:rsidR="006B36F2" w:rsidRPr="009C0CDD" w:rsidRDefault="006B36F2" w:rsidP="006B36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9C0CDD">
        <w:rPr>
          <w:sz w:val="28"/>
          <w:szCs w:val="28"/>
        </w:rPr>
        <w:t>Нормативные правовые акты</w:t>
      </w:r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>сельского поселения,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</w:p>
    <w:p w:rsidR="006B36F2" w:rsidRPr="009C0CDD" w:rsidRDefault="006B36F2" w:rsidP="006B36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0CDD">
        <w:rPr>
          <w:sz w:val="28"/>
          <w:szCs w:val="28"/>
        </w:rPr>
        <w:t>1)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6B36F2" w:rsidRPr="009C0CDD" w:rsidRDefault="006B36F2" w:rsidP="006B36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0CDD">
        <w:rPr>
          <w:sz w:val="28"/>
          <w:szCs w:val="28"/>
        </w:rPr>
        <w:t>2) цели, условия и порядок предоставления субсидий, а также результаты их предоставления;</w:t>
      </w:r>
    </w:p>
    <w:p w:rsidR="006B36F2" w:rsidRPr="009C0CDD" w:rsidRDefault="006B36F2" w:rsidP="006B36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0CDD">
        <w:rPr>
          <w:sz w:val="28"/>
          <w:szCs w:val="28"/>
        </w:rPr>
        <w:lastRenderedPageBreak/>
        <w:t>3) порядок возврата субсидий в соответствующий бюджет в случае нарушения условий, установленных при их предоставлении;</w:t>
      </w:r>
    </w:p>
    <w:p w:rsidR="006B36F2" w:rsidRPr="009C0CDD" w:rsidRDefault="006B36F2" w:rsidP="006B36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0CDD">
        <w:rPr>
          <w:sz w:val="28"/>
          <w:szCs w:val="28"/>
        </w:rPr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6B36F2" w:rsidRPr="009C0CDD" w:rsidRDefault="006B36F2" w:rsidP="006B36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0CDD">
        <w:rPr>
          <w:sz w:val="28"/>
          <w:szCs w:val="28"/>
        </w:rPr>
        <w:t xml:space="preserve">5) положения об осуществлении в отношении получателей субсидий и лиц, указанных в пункте 5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268.1 и 269.2 </w:t>
      </w:r>
      <w:r>
        <w:rPr>
          <w:color w:val="000000"/>
          <w:sz w:val="30"/>
          <w:szCs w:val="30"/>
          <w:shd w:val="clear" w:color="auto" w:fill="FFFFFF"/>
        </w:rPr>
        <w:t>Бюджетного кодекса Российской Федерации</w:t>
      </w:r>
      <w:r w:rsidRPr="009C0CDD">
        <w:rPr>
          <w:sz w:val="28"/>
          <w:szCs w:val="28"/>
        </w:rPr>
        <w:t>»;</w:t>
      </w:r>
    </w:p>
    <w:p w:rsidR="006B36F2" w:rsidRPr="009C0CDD" w:rsidRDefault="006B36F2" w:rsidP="006B36F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0C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>Часть 2 статьи 15 Положения изложить в следующей редакции:</w:t>
      </w:r>
    </w:p>
    <w:p w:rsidR="006B36F2" w:rsidRPr="009C0CDD" w:rsidRDefault="006B36F2" w:rsidP="006B36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C0CDD">
        <w:rPr>
          <w:sz w:val="28"/>
          <w:szCs w:val="28"/>
        </w:rPr>
        <w:t xml:space="preserve">В решении о бюджете сельского поселения </w:t>
      </w:r>
      <w:proofErr w:type="spellStart"/>
      <w:r>
        <w:rPr>
          <w:sz w:val="28"/>
          <w:szCs w:val="28"/>
        </w:rPr>
        <w:t>Истякский</w:t>
      </w:r>
      <w:proofErr w:type="spellEnd"/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 xml:space="preserve"> сельсовет могут предусматриваться субсидии иным некоммерческим организациям, не являющимся муниципальными учреждениями.</w:t>
      </w:r>
    </w:p>
    <w:p w:rsidR="006B36F2" w:rsidRPr="009C0CDD" w:rsidRDefault="006B36F2" w:rsidP="006B36F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C0CDD">
        <w:rPr>
          <w:sz w:val="28"/>
          <w:szCs w:val="28"/>
        </w:rPr>
        <w:t>Порядок определения объема и предоставления указанных субсидий из местного бюджета, в том числе результаты их предоставления, устанавливается соответственно нормативными правовыми актами администрации или нормативными правовыми актами (муниципальными правовыми актами) уполномоченных ими соответственно федеральных</w:t>
      </w:r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 xml:space="preserve">органов государственной власти (федеральных государственных органов), органов государственной власти субъекта Российской Федерации, органов местного самоуправления. Указанные нормативные правовые акты должны соответствовать общим требованиям, установленным Правительством Российской Федерации, и содержать положения об осуществлении в отношении получателей субсидий и лиц, указанных в пункте 3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268.1 и 269.2 </w:t>
      </w:r>
      <w:r>
        <w:rPr>
          <w:color w:val="000000"/>
          <w:sz w:val="30"/>
          <w:szCs w:val="30"/>
          <w:shd w:val="clear" w:color="auto" w:fill="FFFFFF"/>
        </w:rPr>
        <w:t>Бюджетного кодекса Российской Федерации</w:t>
      </w:r>
      <w:r w:rsidRPr="009C0CDD">
        <w:rPr>
          <w:sz w:val="28"/>
          <w:szCs w:val="28"/>
        </w:rPr>
        <w:t>.».</w:t>
      </w:r>
    </w:p>
    <w:p w:rsidR="006B36F2" w:rsidRPr="009C0CDD" w:rsidRDefault="006B36F2" w:rsidP="006B36F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C0CDD">
        <w:rPr>
          <w:sz w:val="28"/>
          <w:szCs w:val="28"/>
        </w:rPr>
        <w:lastRenderedPageBreak/>
        <w:t>3.Часть 5 статьи 7 Положения исключить</w:t>
      </w:r>
      <w:r>
        <w:rPr>
          <w:sz w:val="28"/>
          <w:szCs w:val="28"/>
        </w:rPr>
        <w:t>.</w:t>
      </w:r>
    </w:p>
    <w:p w:rsidR="006B36F2" w:rsidRPr="009C0CDD" w:rsidRDefault="006B36F2" w:rsidP="006B36F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0CDD">
        <w:rPr>
          <w:sz w:val="28"/>
          <w:szCs w:val="28"/>
        </w:rPr>
        <w:t>.Статью 14 Положения дополнить пунктом 8:</w:t>
      </w:r>
    </w:p>
    <w:p w:rsidR="006B36F2" w:rsidRDefault="006B36F2" w:rsidP="006B36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C0C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 xml:space="preserve">решении о бюджете сельского поселения </w:t>
      </w:r>
      <w:proofErr w:type="spellStart"/>
      <w:r>
        <w:rPr>
          <w:sz w:val="28"/>
          <w:szCs w:val="28"/>
        </w:rPr>
        <w:t>Истякский</w:t>
      </w:r>
      <w:proofErr w:type="spellEnd"/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 xml:space="preserve"> сельсовет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государственно-частном партнерстве, </w:t>
      </w:r>
      <w:proofErr w:type="spellStart"/>
      <w:r w:rsidRPr="009C0CDD"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 xml:space="preserve">частном партнерстве. Указанные субсидии предоставляются в соответствии с условиями и сроками, предусмотренными соглашениями о государственно-частном партнерстве, </w:t>
      </w:r>
      <w:proofErr w:type="spellStart"/>
      <w:r w:rsidRPr="009C0CDD">
        <w:rPr>
          <w:sz w:val="28"/>
          <w:szCs w:val="28"/>
        </w:rPr>
        <w:t>муниципально</w:t>
      </w:r>
      <w:proofErr w:type="spellEnd"/>
      <w:r w:rsidRPr="009C0CDD">
        <w:rPr>
          <w:sz w:val="28"/>
          <w:szCs w:val="28"/>
        </w:rPr>
        <w:t xml:space="preserve">-частном партнерстве, концессионными соглашениями, заключенными в порядке, определенном соответственно законодательством Российской Федерации о государственно-частном партнерстве, </w:t>
      </w:r>
      <w:proofErr w:type="spellStart"/>
      <w:r w:rsidRPr="009C0CDD">
        <w:rPr>
          <w:sz w:val="28"/>
          <w:szCs w:val="28"/>
        </w:rPr>
        <w:t>муниципально</w:t>
      </w:r>
      <w:proofErr w:type="spellEnd"/>
      <w:r w:rsidRPr="009C0CDD">
        <w:rPr>
          <w:sz w:val="28"/>
          <w:szCs w:val="28"/>
        </w:rPr>
        <w:t>-частном партнерстве, законодательством Российской Федерации о концессионных соглашениях.»</w:t>
      </w:r>
      <w:r>
        <w:rPr>
          <w:sz w:val="28"/>
          <w:szCs w:val="28"/>
        </w:rPr>
        <w:t>.</w:t>
      </w:r>
    </w:p>
    <w:p w:rsidR="006B36F2" w:rsidRPr="009C0CDD" w:rsidRDefault="006B36F2" w:rsidP="006B36F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0C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>Пункт 2 статьи 47 Положения изложить в новой редакции:</w:t>
      </w:r>
    </w:p>
    <w:p w:rsidR="006B36F2" w:rsidRPr="009C0CDD" w:rsidRDefault="006B36F2" w:rsidP="006B36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C0CDD">
        <w:rPr>
          <w:sz w:val="28"/>
          <w:szCs w:val="28"/>
        </w:rPr>
        <w:t xml:space="preserve"> Излишне уплаченный (взысканный)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бюджета, осуществляющим бюджетные полномочия по принятию решения о возврате излишне уплаченных (взысканных) платежей в бюджет, если иное не предусмотрено законодательными актами Российской Федерации.</w:t>
      </w:r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>Заявление о возврате излишне уплаченного (взысканного) платежа в бюджет может быть подано плательщиком платежей в бюджет в течение трех лет со дня уплаты (взыскания) такого платежа, если иное не предусмотрено законодательными актами Российской Федерации.»</w:t>
      </w:r>
      <w:r>
        <w:rPr>
          <w:sz w:val="28"/>
          <w:szCs w:val="28"/>
        </w:rPr>
        <w:t>.</w:t>
      </w:r>
    </w:p>
    <w:p w:rsidR="006B36F2" w:rsidRPr="009C0CDD" w:rsidRDefault="006B36F2" w:rsidP="006B36F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0C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>Статью 47 Положения дополнить частями</w:t>
      </w:r>
      <w:r>
        <w:rPr>
          <w:sz w:val="28"/>
          <w:szCs w:val="28"/>
        </w:rPr>
        <w:t xml:space="preserve"> 6,7 </w:t>
      </w:r>
      <w:r w:rsidRPr="009C0CDD">
        <w:rPr>
          <w:sz w:val="28"/>
          <w:szCs w:val="28"/>
        </w:rPr>
        <w:t>следующего содержания:</w:t>
      </w:r>
    </w:p>
    <w:p w:rsidR="006B36F2" w:rsidRPr="009C0CDD" w:rsidRDefault="006B36F2" w:rsidP="006B36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0CDD">
        <w:rPr>
          <w:sz w:val="28"/>
          <w:szCs w:val="28"/>
        </w:rPr>
        <w:t>«6)</w:t>
      </w:r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>Органы Федерального казначейства осуществляют в установленном Министерством финансов Российской Федерации порядке учет доходов, поступивших в бюджетную систему Российской Федерации, и их распределение между бюджетами в соответствии с кодом бюджетной классификации Российской Федерации, указанным в расчетном документе на зачисление средств на счет, указанный в абзаце первом настоящего пункта, а в случае возврата (зачета, уточнения) платежа соответствующим администратором доходов бюджета - согласно представленному им распоряжению, а также направляют информацию о зачислении (возврате) денежных средств, об уточнении вида и принадлежности платежа в Государственную информационную систему о государственных и муниципальных платежах.</w:t>
      </w:r>
    </w:p>
    <w:p w:rsidR="006B36F2" w:rsidRPr="009C0CDD" w:rsidRDefault="006B36F2" w:rsidP="006B36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0CDD">
        <w:rPr>
          <w:sz w:val="28"/>
          <w:szCs w:val="28"/>
        </w:rPr>
        <w:lastRenderedPageBreak/>
        <w:t>7) Денежные средства, в отношении которых отсутствует информация, позволяющая однозначно определить их принадлежность к виду (подвиду) дохода бюджета, закрепляемому за администратором доходов бюджета, относятся органами Федерального казначейства к невыясненным поступлениям, зачисляемым в соответствующий бюджет.</w:t>
      </w:r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>Невыясненные поступления, зачисленные в бюджеты бюджетной системы Российской Федерации, подлежат возврату (уточнению) не позднее трех лет со дня их зачисления на единый счет соответствующего бюджета.</w:t>
      </w:r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>По истечении срока, указанного в абзаце втором настоящего пункта, невыясненные поступления, которые зачислены в бюджеты бюджетной системы Российской Федерации и по которым не осуществлен возврат (уточнение), подлежат отражению по коду классификации доходов бюджетов,</w:t>
      </w:r>
      <w:r>
        <w:rPr>
          <w:sz w:val="28"/>
          <w:szCs w:val="28"/>
        </w:rPr>
        <w:t xml:space="preserve"> </w:t>
      </w:r>
      <w:r w:rsidRPr="009C0CDD">
        <w:rPr>
          <w:sz w:val="28"/>
          <w:szCs w:val="28"/>
        </w:rPr>
        <w:t>предусмотренному для учета прочих неналоговых доходов соответствующего бюджета бюджетной системы Российской Федерации, и возврату (уточнению) не подлежат.»</w:t>
      </w:r>
      <w:r>
        <w:rPr>
          <w:sz w:val="28"/>
          <w:szCs w:val="28"/>
        </w:rPr>
        <w:t>.</w:t>
      </w:r>
    </w:p>
    <w:p w:rsidR="006B36F2" w:rsidRPr="00485D6D" w:rsidRDefault="006B36F2" w:rsidP="006B3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</w:t>
      </w:r>
      <w:r w:rsidRPr="009C0CDD">
        <w:rPr>
          <w:sz w:val="28"/>
          <w:szCs w:val="28"/>
        </w:rPr>
        <w:t xml:space="preserve">. </w:t>
      </w:r>
      <w:r w:rsidRPr="00485D6D">
        <w:rPr>
          <w:rFonts w:ascii="Times New Roman" w:hAnsi="Times New Roman" w:cs="Times New Roman"/>
          <w:sz w:val="28"/>
          <w:szCs w:val="28"/>
        </w:rPr>
        <w:t xml:space="preserve">Обнародовать данное </w:t>
      </w:r>
      <w:proofErr w:type="gramStart"/>
      <w:r w:rsidRPr="00485D6D">
        <w:rPr>
          <w:rFonts w:ascii="Times New Roman" w:hAnsi="Times New Roman" w:cs="Times New Roman"/>
          <w:sz w:val="28"/>
          <w:szCs w:val="28"/>
        </w:rPr>
        <w:t>решение  на</w:t>
      </w:r>
      <w:proofErr w:type="gramEnd"/>
      <w:r w:rsidRPr="00485D6D">
        <w:rPr>
          <w:rFonts w:ascii="Times New Roman" w:hAnsi="Times New Roman" w:cs="Times New Roman"/>
          <w:sz w:val="28"/>
          <w:szCs w:val="28"/>
        </w:rPr>
        <w:t xml:space="preserve"> информационном стенде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Истяк</w:t>
      </w:r>
      <w:r w:rsidRPr="00485D6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85D6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485D6D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485D6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по адресу: 45280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5D6D">
        <w:rPr>
          <w:rFonts w:ascii="Times New Roman" w:hAnsi="Times New Roman" w:cs="Times New Roman"/>
          <w:sz w:val="28"/>
          <w:szCs w:val="28"/>
        </w:rPr>
        <w:t xml:space="preserve">, РБ, </w:t>
      </w:r>
      <w:proofErr w:type="spellStart"/>
      <w:r w:rsidRPr="00485D6D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485D6D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Истяк</w:t>
      </w:r>
      <w:proofErr w:type="spellEnd"/>
      <w:r w:rsidRPr="00485D6D">
        <w:rPr>
          <w:rFonts w:ascii="Times New Roman" w:hAnsi="Times New Roman" w:cs="Times New Roman"/>
          <w:sz w:val="28"/>
          <w:szCs w:val="28"/>
        </w:rPr>
        <w:t>, ул. Центральная, д.</w:t>
      </w:r>
      <w:r>
        <w:rPr>
          <w:rFonts w:ascii="Times New Roman" w:hAnsi="Times New Roman" w:cs="Times New Roman"/>
          <w:sz w:val="28"/>
          <w:szCs w:val="28"/>
        </w:rPr>
        <w:t>39Б</w:t>
      </w:r>
      <w:r w:rsidRPr="00485D6D">
        <w:rPr>
          <w:rFonts w:ascii="Times New Roman" w:hAnsi="Times New Roman" w:cs="Times New Roman"/>
          <w:sz w:val="28"/>
          <w:szCs w:val="28"/>
        </w:rPr>
        <w:t xml:space="preserve"> и разместить на  сайте 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Истяк</w:t>
      </w:r>
      <w:r w:rsidRPr="00485D6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85D6D">
        <w:rPr>
          <w:rFonts w:ascii="Times New Roman" w:hAnsi="Times New Roman" w:cs="Times New Roman"/>
          <w:sz w:val="28"/>
          <w:szCs w:val="28"/>
        </w:rPr>
        <w:t xml:space="preserve"> сельсовет муниципального района </w:t>
      </w:r>
      <w:proofErr w:type="spellStart"/>
      <w:r w:rsidRPr="00485D6D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485D6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адресу: http:sp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istyak</w:t>
      </w:r>
      <w:proofErr w:type="spellEnd"/>
      <w:r w:rsidRPr="00485D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5D6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85D6D">
        <w:rPr>
          <w:rFonts w:ascii="Times New Roman" w:hAnsi="Times New Roman" w:cs="Times New Roman"/>
          <w:sz w:val="28"/>
          <w:szCs w:val="28"/>
        </w:rPr>
        <w:t>.</w:t>
      </w:r>
      <w:r w:rsidRPr="00485D6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6B36F2" w:rsidRDefault="006B36F2" w:rsidP="006B36F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5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5D6D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решения возложить на постоянную комиссию Совета по бюджету, налогам, вопросам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D6D">
        <w:rPr>
          <w:rFonts w:ascii="Times New Roman" w:hAnsi="Times New Roman" w:cs="Times New Roman"/>
          <w:sz w:val="28"/>
          <w:szCs w:val="28"/>
        </w:rPr>
        <w:t>собственности,  социально-гуманитарным вопросам и охране правопорядка.</w:t>
      </w:r>
    </w:p>
    <w:p w:rsidR="006B36F2" w:rsidRPr="00485D6D" w:rsidRDefault="006B36F2" w:rsidP="006B36F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36F2" w:rsidRPr="00485D6D" w:rsidRDefault="006B36F2" w:rsidP="006B36F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36F2" w:rsidRDefault="006B36F2" w:rsidP="006B3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6D">
        <w:rPr>
          <w:rFonts w:ascii="Times New Roman" w:hAnsi="Times New Roman" w:cs="Times New Roman"/>
          <w:sz w:val="28"/>
          <w:szCs w:val="28"/>
        </w:rPr>
        <w:t>Глава</w:t>
      </w:r>
    </w:p>
    <w:p w:rsidR="006B36F2" w:rsidRPr="00485D6D" w:rsidRDefault="006B36F2" w:rsidP="006B3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6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5D6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А.М.Гильмиев</w:t>
      </w:r>
      <w:proofErr w:type="spellEnd"/>
    </w:p>
    <w:p w:rsidR="006B36F2" w:rsidRPr="00485D6D" w:rsidRDefault="006B36F2" w:rsidP="006B36F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6B36F2" w:rsidRDefault="006B36F2"/>
    <w:sectPr w:rsidR="006B36F2" w:rsidSect="005B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2AEB"/>
    <w:multiLevelType w:val="hybridMultilevel"/>
    <w:tmpl w:val="B4407C38"/>
    <w:lvl w:ilvl="0" w:tplc="078E2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90"/>
    <w:rsid w:val="005C1290"/>
    <w:rsid w:val="006B36F2"/>
    <w:rsid w:val="00817946"/>
    <w:rsid w:val="00CD7154"/>
    <w:rsid w:val="00FA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216717"/>
  <w15:docId w15:val="{CE72CA31-3676-4C37-8EB5-CCE73DFF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B36F2"/>
    <w:pPr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B36F2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a4">
    <w:name w:val="Body Text"/>
    <w:basedOn w:val="a"/>
    <w:link w:val="a5"/>
    <w:rsid w:val="006B36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6B36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B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1262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Истяк</dc:creator>
  <cp:keywords/>
  <dc:description/>
  <cp:lastModifiedBy>User-PC</cp:lastModifiedBy>
  <cp:revision>4</cp:revision>
  <dcterms:created xsi:type="dcterms:W3CDTF">2022-09-19T05:40:00Z</dcterms:created>
  <dcterms:modified xsi:type="dcterms:W3CDTF">2022-09-20T06:12:00Z</dcterms:modified>
</cp:coreProperties>
</file>